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6000D" w:rsidRPr="008A7E71" w:rsidP="008A7E71">
      <w:pPr>
        <w:pStyle w:val="MainTitle"/>
      </w:pPr>
      <w:r w:rsidR="00D013A2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516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398" cy="3084195"/>
                          <a:chOff x="1" y="0"/>
                          <a:chExt cx="7772398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" y="0"/>
                            <a:ext cx="7772398" cy="637606"/>
                            <a:chOff x="1" y="0"/>
                            <a:chExt cx="7772398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473"/>
                              <a:ext cx="7772398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08C" w:rsidRPr="0024208C" w:rsidP="0024208C">
                              <w:pPr>
                                <w:pStyle w:val="SubHeader"/>
                              </w:pPr>
                              <w:r>
                                <w:t xml:space="preserve">June 15, 2020 </w:t>
                              </w:r>
                              <w:r w:rsidR="00831DE2">
                                <w:t xml:space="preserve"> </w:t>
                              </w:r>
                            </w:p>
                            <w:p w:rsidR="009343D8" w:rsidP="0024208C">
                              <w:pPr>
                                <w:pStyle w:val="BodyText"/>
                              </w:pPr>
                              <w:r>
                                <w:t>On June 15, 2020, t</w:t>
                              </w:r>
                              <w:r w:rsidR="00831DE2">
                                <w:t xml:space="preserve">he U.S. Supreme Court ruled that </w:t>
                              </w:r>
                              <w:r w:rsidR="00345CE3">
                                <w:t xml:space="preserve">employment discrimination based on </w:t>
                              </w:r>
                              <w:r w:rsidR="00047046">
                                <w:t xml:space="preserve">sexual orientation </w:t>
                              </w:r>
                              <w:r w:rsidR="00345CE3">
                                <w:t>or</w:t>
                              </w:r>
                              <w:r w:rsidR="00047046">
                                <w:t xml:space="preserve"> gender identity </w:t>
                              </w:r>
                              <w:r w:rsidR="00831DE2">
                                <w:t xml:space="preserve">(SOGI) violates </w:t>
                              </w:r>
                              <w:r w:rsidR="00273D10">
                                <w:t>Title VII of the f</w:t>
                              </w:r>
                              <w:r w:rsidR="00345CE3">
                                <w:t>ederal</w:t>
                              </w:r>
                              <w:r w:rsidR="00273D10">
                                <w:t xml:space="preserve"> Civil Right Act (Title VII)</w:t>
                              </w:r>
                            </w:p>
                            <w:p w:rsidR="009343D8" w:rsidP="009343D8">
                              <w:pPr>
                                <w:pStyle w:val="SubHeader"/>
                              </w:pPr>
                              <w:r>
                                <w:t>June 15, 2021</w:t>
                              </w:r>
                              <w:r>
                                <w:t xml:space="preserve"> </w:t>
                              </w:r>
                            </w:p>
                            <w:p w:rsidR="009343D8" w:rsidP="0024208C">
                              <w:pPr>
                                <w:pStyle w:val="BodyText"/>
                              </w:pPr>
                              <w:r>
                                <w:t>The</w:t>
                              </w:r>
                              <w:r w:rsidR="00345CE3">
                                <w:t xml:space="preserve"> EEOC </w:t>
                              </w:r>
                              <w:r w:rsidR="00FA4D15">
                                <w:t>published new resources</w:t>
                              </w:r>
                              <w:r w:rsidR="00674394">
                                <w:t xml:space="preserve"> </w:t>
                              </w:r>
                              <w:r w:rsidR="0074107A">
                                <w:t xml:space="preserve"> </w:t>
                              </w:r>
                              <w:r w:rsidR="00674394">
                                <w:t xml:space="preserve">to help employers </w:t>
                              </w:r>
                              <w:r w:rsidR="00345CE3">
                                <w:t>comply with Title VII’s prohibition against SOGI discrimination</w:t>
                              </w:r>
                              <w:r w:rsidR="00F27D12"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  <w:p w:rsidR="009343D8" w:rsidP="004D34B3">
                              <w:pPr>
                                <w:pStyle w:val="BodyText"/>
                              </w:pPr>
                              <w:r>
                                <w:t xml:space="preserve"> </w:t>
                              </w:r>
                            </w:p>
                            <w:p w:rsidR="009343D8" w:rsidP="004D34B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4208C" w:rsidRPr="0024208C" w:rsidP="0024208C">
                        <w:pPr>
                          <w:pStyle w:val="SubHeader"/>
                        </w:pPr>
                        <w:r>
                          <w:t xml:space="preserve">June 15, 2020 </w:t>
                        </w:r>
                        <w:r w:rsidR="00831DE2">
                          <w:t xml:space="preserve"> </w:t>
                        </w:r>
                      </w:p>
                      <w:p w:rsidR="009343D8" w:rsidP="0024208C">
                        <w:pPr>
                          <w:pStyle w:val="BodyText"/>
                        </w:pPr>
                        <w:r>
                          <w:t>On June 15, 2020, t</w:t>
                        </w:r>
                        <w:r w:rsidR="00831DE2">
                          <w:t xml:space="preserve">he U.S. Supreme Court ruled that </w:t>
                        </w:r>
                        <w:r w:rsidR="00345CE3">
                          <w:t xml:space="preserve">employment discrimination based on </w:t>
                        </w:r>
                        <w:r w:rsidR="00047046">
                          <w:t xml:space="preserve">sexual orientation </w:t>
                        </w:r>
                        <w:r w:rsidR="00345CE3">
                          <w:t>or</w:t>
                        </w:r>
                        <w:r w:rsidR="00047046">
                          <w:t xml:space="preserve"> gender identity </w:t>
                        </w:r>
                        <w:r w:rsidR="00831DE2">
                          <w:t xml:space="preserve">(SOGI) violates </w:t>
                        </w:r>
                        <w:r w:rsidR="00273D10">
                          <w:t>Title VII of the f</w:t>
                        </w:r>
                        <w:r w:rsidR="00345CE3">
                          <w:t>ederal</w:t>
                        </w:r>
                        <w:r w:rsidR="00273D10">
                          <w:t xml:space="preserve"> Civil Right Act (Title VII)</w:t>
                        </w:r>
                      </w:p>
                      <w:p w:rsidR="009343D8" w:rsidP="009343D8">
                        <w:pPr>
                          <w:pStyle w:val="SubHeader"/>
                        </w:pPr>
                        <w:r>
                          <w:t>June 15, 2021</w:t>
                        </w:r>
                        <w:r>
                          <w:t xml:space="preserve"> </w:t>
                        </w:r>
                      </w:p>
                      <w:p w:rsidR="009343D8" w:rsidP="0024208C">
                        <w:pPr>
                          <w:pStyle w:val="BodyText"/>
                        </w:pPr>
                        <w:r>
                          <w:t>The</w:t>
                        </w:r>
                        <w:r w:rsidR="00345CE3">
                          <w:t xml:space="preserve"> EEOC </w:t>
                        </w:r>
                        <w:r w:rsidR="00FA4D15">
                          <w:t>published new resources</w:t>
                        </w:r>
                        <w:r w:rsidR="00674394">
                          <w:t xml:space="preserve"> </w:t>
                        </w:r>
                        <w:r w:rsidR="0074107A">
                          <w:t xml:space="preserve"> </w:t>
                        </w:r>
                        <w:r w:rsidR="00674394">
                          <w:t xml:space="preserve">to help employers </w:t>
                        </w:r>
                        <w:r w:rsidR="00345CE3">
                          <w:t>comply with Title VII’s prohibition against SOGI discrimination</w:t>
                        </w:r>
                        <w:r w:rsidR="00F27D12">
                          <w:t xml:space="preserve"> </w:t>
                        </w:r>
                        <w:r>
                          <w:t xml:space="preserve">  </w:t>
                        </w:r>
                      </w:p>
                      <w:p w:rsidR="009343D8" w:rsidP="004D34B3">
                        <w:pPr>
                          <w:pStyle w:val="BodyText"/>
                        </w:pPr>
                        <w:r>
                          <w:t xml:space="preserve"> </w:t>
                        </w:r>
                      </w:p>
                      <w:p w:rsidR="009343D8" w:rsidP="004D34B3">
                        <w:pPr>
                          <w:pStyle w:val="BodyTex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13A2">
        <w:t xml:space="preserve">EEOC </w:t>
      </w:r>
      <w:r w:rsidR="00432327">
        <w:t xml:space="preserve">Issues </w:t>
      </w:r>
      <w:r w:rsidR="001D6686">
        <w:t>R</w:t>
      </w:r>
      <w:r w:rsidR="00432327">
        <w:t>esources on Sexual Orientation and Gender Identity</w:t>
      </w:r>
    </w:p>
    <w:p w:rsidR="00FA4D15" w:rsidP="00590600">
      <w:pPr>
        <w:pStyle w:val="BodyText"/>
        <w:spacing w:after="120"/>
      </w:pPr>
      <w:r>
        <w:t xml:space="preserve">On </w:t>
      </w:r>
      <w:r w:rsidR="00432327">
        <w:t>June 15, 2021</w:t>
      </w:r>
      <w:r>
        <w:t xml:space="preserve">, the </w:t>
      </w:r>
      <w:r w:rsidR="00432327">
        <w:t xml:space="preserve">Equal Employment Opportunity Commission (EEOC) issued </w:t>
      </w:r>
      <w:r w:rsidR="00273D10">
        <w:t xml:space="preserve">guidance </w:t>
      </w:r>
      <w:r w:rsidR="00432327">
        <w:t xml:space="preserve">for employers </w:t>
      </w:r>
      <w:r>
        <w:t xml:space="preserve">regarding </w:t>
      </w:r>
      <w:r w:rsidR="00432327">
        <w:t xml:space="preserve">sexual orientation </w:t>
      </w:r>
      <w:r>
        <w:t xml:space="preserve">or </w:t>
      </w:r>
      <w:r w:rsidR="00432327">
        <w:t xml:space="preserve">gender identity </w:t>
      </w:r>
      <w:r w:rsidR="00A61534">
        <w:t>(SOGI)</w:t>
      </w:r>
      <w:r>
        <w:t xml:space="preserve"> discrimination under</w:t>
      </w:r>
      <w:r w:rsidR="001D6686">
        <w:t xml:space="preserve"> federal law</w:t>
      </w:r>
      <w:r>
        <w:t xml:space="preserve">. </w:t>
      </w:r>
    </w:p>
    <w:p w:rsidR="00273D10" w:rsidP="00590600">
      <w:pPr>
        <w:pStyle w:val="BodyText"/>
        <w:spacing w:after="120"/>
      </w:pPr>
      <w:r>
        <w:t xml:space="preserve">The </w:t>
      </w:r>
      <w:r w:rsidR="00331784">
        <w:t>new</w:t>
      </w:r>
      <w:r>
        <w:t xml:space="preserve"> guidance </w:t>
      </w:r>
      <w:r>
        <w:t>address</w:t>
      </w:r>
      <w:r>
        <w:t>es</w:t>
      </w:r>
      <w:r>
        <w:t xml:space="preserve"> and expand</w:t>
      </w:r>
      <w:r>
        <w:t>s</w:t>
      </w:r>
      <w:r>
        <w:t xml:space="preserve"> upon the decision in </w:t>
      </w:r>
      <w:r>
        <w:fldChar w:fldCharType="begin"/>
      </w:r>
      <w:r>
        <w:instrText xml:space="preserve"> HYPERLINK "https://www.supremecourt.gov/opinions/19pdf/17-1618_hfci.pdf" </w:instrText>
      </w:r>
      <w:r>
        <w:fldChar w:fldCharType="separate"/>
      </w:r>
      <w:r w:rsidRPr="00C578EB" w:rsidR="00FD21BC">
        <w:rPr>
          <w:rStyle w:val="Hyperlink"/>
          <w:i/>
        </w:rPr>
        <w:t>Bosto</w:t>
      </w:r>
      <w:r w:rsidRPr="00C578EB" w:rsidR="00831DE2">
        <w:rPr>
          <w:rStyle w:val="Hyperlink"/>
          <w:i/>
        </w:rPr>
        <w:t>c</w:t>
      </w:r>
      <w:r w:rsidRPr="00C578EB" w:rsidR="00FD21BC">
        <w:rPr>
          <w:rStyle w:val="Hyperlink"/>
          <w:i/>
        </w:rPr>
        <w:t xml:space="preserve">k v. </w:t>
      </w:r>
      <w:r w:rsidRPr="00C578EB" w:rsidR="00831DE2">
        <w:rPr>
          <w:rStyle w:val="Hyperlink"/>
          <w:i/>
        </w:rPr>
        <w:t>Clayton County</w:t>
      </w:r>
      <w:r>
        <w:fldChar w:fldCharType="end"/>
      </w:r>
      <w:r>
        <w:t>, which the</w:t>
      </w:r>
      <w:r w:rsidRPr="00FA4D15">
        <w:t xml:space="preserve"> U.S. Supreme Cour</w:t>
      </w:r>
      <w:r>
        <w:t xml:space="preserve">t issued exactly one year </w:t>
      </w:r>
      <w:r w:rsidR="00331784">
        <w:t>prior.</w:t>
      </w:r>
      <w:r>
        <w:t xml:space="preserve"> In that decision, the court held </w:t>
      </w:r>
      <w:r w:rsidRPr="00831DE2" w:rsidR="00831DE2">
        <w:t>that firing</w:t>
      </w:r>
      <w:r>
        <w:t xml:space="preserve"> or otherwise discriminating against </w:t>
      </w:r>
      <w:r w:rsidRPr="00831DE2" w:rsidR="00831DE2">
        <w:t xml:space="preserve">individuals because of their </w:t>
      </w:r>
      <w:r w:rsidR="00722D3D">
        <w:t xml:space="preserve">homosexuality </w:t>
      </w:r>
      <w:r w:rsidRPr="00831DE2" w:rsidR="00831DE2">
        <w:t xml:space="preserve">or transgender status violates </w:t>
      </w:r>
      <w:r w:rsidR="001D6686">
        <w:t xml:space="preserve">the </w:t>
      </w:r>
      <w:r w:rsidR="00331784">
        <w:t>prohibition against discrimination based on sex</w:t>
      </w:r>
      <w:r w:rsidR="001D6686">
        <w:t xml:space="preserve"> under </w:t>
      </w:r>
      <w:r w:rsidRPr="001D6686" w:rsidR="001D6686">
        <w:t>Title VII of the federal Civil Right</w:t>
      </w:r>
      <w:r w:rsidR="00981EE1">
        <w:t>s</w:t>
      </w:r>
      <w:r w:rsidRPr="001D6686" w:rsidR="001D6686">
        <w:t xml:space="preserve"> Act</w:t>
      </w:r>
      <w:r w:rsidR="001D6686">
        <w:t xml:space="preserve">, which </w:t>
      </w:r>
      <w:r w:rsidR="00331784">
        <w:t xml:space="preserve">applies </w:t>
      </w:r>
      <w:r w:rsidR="008F5139">
        <w:t xml:space="preserve">to </w:t>
      </w:r>
      <w:r w:rsidR="00331784">
        <w:t>all employers with 15 or more employees</w:t>
      </w:r>
      <w:r w:rsidR="008F5139">
        <w:t xml:space="preserve">. </w:t>
      </w:r>
    </w:p>
    <w:p w:rsidR="00FA4D15" w:rsidP="00722D3D">
      <w:pPr>
        <w:pStyle w:val="BodyText"/>
        <w:spacing w:after="120"/>
      </w:pPr>
      <w:r>
        <w:t>The EEOC’s n</w:t>
      </w:r>
      <w:r w:rsidR="008A4169">
        <w:t>ew</w:t>
      </w:r>
      <w:r w:rsidR="00722D3D">
        <w:t xml:space="preserve"> </w:t>
      </w:r>
      <w:r>
        <w:t xml:space="preserve">resources include a </w:t>
      </w:r>
      <w:r>
        <w:fldChar w:fldCharType="begin"/>
      </w:r>
      <w:r>
        <w:instrText xml:space="preserve"> HYPERLINK "https://www.eeoc.gov/sexual-orientation-and-gender-identity-sogi-discrimination?utm_content=&amp;utm_medium=email&amp;utm_name=&amp;utm_source=govdelivery&amp;utm_term=" </w:instrText>
      </w:r>
      <w:r>
        <w:fldChar w:fldCharType="separate"/>
      </w:r>
      <w:r w:rsidRPr="00C578EB">
        <w:rPr>
          <w:rStyle w:val="Hyperlink"/>
        </w:rPr>
        <w:t>webpage</w:t>
      </w:r>
      <w:r>
        <w:fldChar w:fldCharType="end"/>
      </w:r>
      <w:r w:rsidR="000C2A61">
        <w:t xml:space="preserve">, a </w:t>
      </w:r>
      <w:r>
        <w:fldChar w:fldCharType="begin"/>
      </w:r>
      <w:r>
        <w:instrText xml:space="preserve"> HYPERLINK "https://www.eeoc.gov/protections-against-employment-discrimination-based-sexual-orientation-or-gender-identity" </w:instrText>
      </w:r>
      <w:r>
        <w:fldChar w:fldCharType="separate"/>
      </w:r>
      <w:r w:rsidRPr="00C578EB" w:rsidR="00722D3D">
        <w:rPr>
          <w:rStyle w:val="Hyperlink"/>
        </w:rPr>
        <w:t xml:space="preserve">technical assistance </w:t>
      </w:r>
      <w:r w:rsidRPr="00C578EB" w:rsidR="000C2A61">
        <w:rPr>
          <w:rStyle w:val="Hyperlink"/>
        </w:rPr>
        <w:t>document</w:t>
      </w:r>
      <w:r>
        <w:fldChar w:fldCharType="end"/>
      </w:r>
      <w:r w:rsidR="000C2A61">
        <w:t xml:space="preserve"> and a </w:t>
      </w:r>
      <w:r>
        <w:fldChar w:fldCharType="begin"/>
      </w:r>
      <w:r>
        <w:instrText xml:space="preserve"> HYPERLINK "https://www.eeoc.gov/fact-sheet-notable-eeoc-litigation-regarding-title-vii-discrimination-based-sexual-orientation-and" </w:instrText>
      </w:r>
      <w:r>
        <w:fldChar w:fldCharType="separate"/>
      </w:r>
      <w:r w:rsidRPr="00C578EB" w:rsidR="000C2A61">
        <w:rPr>
          <w:rStyle w:val="Hyperlink"/>
        </w:rPr>
        <w:t>fact sheet</w:t>
      </w:r>
      <w:r>
        <w:fldChar w:fldCharType="end"/>
      </w:r>
      <w:r w:rsidR="000C2A61">
        <w:t xml:space="preserve"> on </w:t>
      </w:r>
      <w:r w:rsidR="008A4169">
        <w:t>SOGI discrimination</w:t>
      </w:r>
      <w:r w:rsidR="00722D3D">
        <w:t xml:space="preserve">. </w:t>
      </w:r>
      <w:r w:rsidR="008A4169">
        <w:t xml:space="preserve">The </w:t>
      </w:r>
      <w:r>
        <w:t xml:space="preserve">new </w:t>
      </w:r>
      <w:r w:rsidR="00722D3D">
        <w:t>webpage</w:t>
      </w:r>
      <w:r>
        <w:t xml:space="preserve"> also</w:t>
      </w:r>
      <w:r w:rsidR="00722D3D">
        <w:t xml:space="preserve"> </w:t>
      </w:r>
      <w:r w:rsidR="008A4169">
        <w:t xml:space="preserve">includes links to the </w:t>
      </w:r>
      <w:r w:rsidR="00722D3D">
        <w:t>existing</w:t>
      </w:r>
      <w:r w:rsidR="00331784">
        <w:t xml:space="preserve"> EEOC</w:t>
      </w:r>
      <w:r w:rsidR="00722D3D">
        <w:t xml:space="preserve"> </w:t>
      </w:r>
      <w:r w:rsidR="000C2A61">
        <w:t>publications</w:t>
      </w:r>
      <w:r w:rsidR="00722D3D">
        <w:rPr>
          <w:bCs/>
        </w:rPr>
        <w:t xml:space="preserve"> on related </w:t>
      </w:r>
      <w:r w:rsidR="000C2A61">
        <w:rPr>
          <w:bCs/>
        </w:rPr>
        <w:t>topics</w:t>
      </w:r>
      <w:r w:rsidR="00722D3D">
        <w:rPr>
          <w:bCs/>
        </w:rPr>
        <w:t xml:space="preserve">, such as </w:t>
      </w:r>
      <w:r>
        <w:fldChar w:fldCharType="begin"/>
      </w:r>
      <w:r>
        <w:instrText xml:space="preserve"> HYPERLINK "https://www.eeoc.gov/laws/guidance/fact-sheet-facilitybathroom-access-and-gender-identity" </w:instrText>
      </w:r>
      <w:r>
        <w:fldChar w:fldCharType="separate"/>
      </w:r>
      <w:r w:rsidRPr="00C578EB" w:rsidR="00722D3D">
        <w:rPr>
          <w:rStyle w:val="Hyperlink"/>
          <w:bCs/>
        </w:rPr>
        <w:t>facility/bathroom access</w:t>
      </w:r>
      <w:r>
        <w:fldChar w:fldCharType="end"/>
      </w:r>
      <w:r w:rsidR="000C2A61">
        <w:rPr>
          <w:bCs/>
        </w:rPr>
        <w:t xml:space="preserve"> and </w:t>
      </w:r>
      <w:r>
        <w:fldChar w:fldCharType="begin"/>
      </w:r>
      <w:r>
        <w:instrText xml:space="preserve"> HYPERLINK "https://www.opm.gov/policy-data-oversight/diversity-and-inclusion/reference-materials/addressing-sexual-orientation-and-gender-identity-discrimination-in-federal-civilian-employment.pdf" </w:instrText>
      </w:r>
      <w:r>
        <w:fldChar w:fldCharType="separate"/>
      </w:r>
      <w:r w:rsidRPr="00C578EB" w:rsidR="000C2A61">
        <w:rPr>
          <w:rStyle w:val="Hyperlink"/>
          <w:bCs/>
        </w:rPr>
        <w:t xml:space="preserve">guidance </w:t>
      </w:r>
      <w:r w:rsidRPr="00C578EB" w:rsidR="00C578EB">
        <w:rPr>
          <w:rStyle w:val="Hyperlink"/>
          <w:bCs/>
        </w:rPr>
        <w:t xml:space="preserve">for </w:t>
      </w:r>
      <w:r w:rsidRPr="00C578EB" w:rsidR="000C2A61">
        <w:rPr>
          <w:rStyle w:val="Hyperlink"/>
          <w:bCs/>
        </w:rPr>
        <w:t>federal employ</w:t>
      </w:r>
      <w:r w:rsidRPr="00C578EB" w:rsidR="00C578EB">
        <w:rPr>
          <w:rStyle w:val="Hyperlink"/>
          <w:bCs/>
        </w:rPr>
        <w:t>ees</w:t>
      </w:r>
      <w:r>
        <w:fldChar w:fldCharType="end"/>
      </w:r>
      <w:r w:rsidR="00C578EB">
        <w:rPr>
          <w:bCs/>
        </w:rPr>
        <w:t>.</w:t>
      </w:r>
      <w:r w:rsidR="000C2A61">
        <w:rPr>
          <w:bCs/>
        </w:rPr>
        <w:t xml:space="preserve"> </w:t>
      </w:r>
    </w:p>
    <w:p w:rsidR="00623B8A" w:rsidP="00CF4144">
      <w:pPr>
        <w:pStyle w:val="SubHeader"/>
      </w:pPr>
      <w:r>
        <w:t xml:space="preserve">Prohibited Actions </w:t>
      </w:r>
      <w:r w:rsidR="004972BA">
        <w:t xml:space="preserve"> </w:t>
      </w:r>
    </w:p>
    <w:p w:rsidR="00976AB1" w:rsidP="00627E1B">
      <w:pPr>
        <w:pStyle w:val="BodyText"/>
        <w:spacing w:after="120"/>
      </w:pPr>
      <w:r>
        <w:t>T</w:t>
      </w:r>
      <w:r w:rsidR="000C2A61">
        <w:t xml:space="preserve">he new </w:t>
      </w:r>
      <w:r>
        <w:t xml:space="preserve">EEOC </w:t>
      </w:r>
      <w:r w:rsidR="000C2A61">
        <w:t xml:space="preserve">resources clarify, among other things, that </w:t>
      </w:r>
      <w:r w:rsidR="004972BA">
        <w:t xml:space="preserve">employers may </w:t>
      </w:r>
      <w:r w:rsidRPr="000C2A61" w:rsidR="004972BA">
        <w:rPr>
          <w:b/>
        </w:rPr>
        <w:t>not</w:t>
      </w:r>
      <w:r w:rsidR="004972BA">
        <w:t>:</w:t>
      </w:r>
      <w:r w:rsidR="00231C34">
        <w:t xml:space="preserve"> </w:t>
      </w:r>
      <w:r w:rsidR="00CC199E">
        <w:t xml:space="preserve"> </w:t>
      </w:r>
      <w:r w:rsidR="00CF4144">
        <w:t xml:space="preserve"> </w:t>
      </w:r>
      <w:r w:rsidR="00F6607B">
        <w:t xml:space="preserve"> </w:t>
      </w:r>
      <w:r>
        <w:t xml:space="preserve"> </w:t>
      </w:r>
    </w:p>
    <w:p w:rsidR="004972BA" w:rsidP="004972BA">
      <w:pPr>
        <w:pStyle w:val="Bullet"/>
      </w:pPr>
      <w:r>
        <w:t xml:space="preserve">Segregate </w:t>
      </w:r>
      <w:r w:rsidR="00273D10">
        <w:t xml:space="preserve">or otherwise discriminate against </w:t>
      </w:r>
      <w:r>
        <w:t>employees based on actual or perceived customer</w:t>
      </w:r>
      <w:r w:rsidR="00273D10">
        <w:t xml:space="preserve"> or client</w:t>
      </w:r>
      <w:r>
        <w:t xml:space="preserve"> preferences</w:t>
      </w:r>
      <w:r w:rsidR="00273D10">
        <w:t xml:space="preserve"> </w:t>
      </w:r>
      <w:r>
        <w:t xml:space="preserve">(such as by keeping LGBTQ+ employees out of public-facing positions or directing them </w:t>
      </w:r>
      <w:r w:rsidR="00273D10">
        <w:t xml:space="preserve">to </w:t>
      </w:r>
      <w:r>
        <w:t>certain stores or</w:t>
      </w:r>
      <w:r w:rsidR="00273D10">
        <w:t xml:space="preserve"> geographic</w:t>
      </w:r>
      <w:r w:rsidR="000C2A61">
        <w:t xml:space="preserve"> locations</w:t>
      </w:r>
      <w:r>
        <w:t>)</w:t>
      </w:r>
      <w:r w:rsidR="000C2A61">
        <w:t>;</w:t>
      </w:r>
      <w:bookmarkStart w:id="0" w:name="_GoBack"/>
      <w:bookmarkEnd w:id="0"/>
    </w:p>
    <w:p w:rsidR="004972BA" w:rsidP="00FD3ACD">
      <w:pPr>
        <w:pStyle w:val="Bullet"/>
      </w:pPr>
      <w:r>
        <w:t>Prohibit a transgender person from dressing or presenting consistent with that person’s gender identity;</w:t>
      </w:r>
    </w:p>
    <w:p w:rsidR="008A7E71" w:rsidP="00ED0F7C">
      <w:pPr>
        <w:pStyle w:val="Bullet"/>
      </w:pPr>
      <w:r>
        <w:t>D</w:t>
      </w:r>
      <w:r w:rsidRPr="004972BA">
        <w:t>eny an employee equal access to a bathroom, locker room or shower that corresponds to the employee’s gender identity</w:t>
      </w:r>
      <w:r w:rsidR="00F834F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5587365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3658" y="0"/>
                          <a:chExt cx="7764448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8" y="0"/>
                            <a:ext cx="7764448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962EFD">
                              <w:pPr>
                                <w:pStyle w:val="CallOutBox"/>
                              </w:pPr>
                              <w:r>
                                <w:t>The new guidance aims to help employers comply with Title VII’s</w:t>
                              </w:r>
                              <w:r w:rsidR="00273D10">
                                <w:t xml:space="preserve"> prohibition against discrimination based on sexual</w:t>
                              </w:r>
                              <w:r w:rsidR="00047046">
                                <w:t xml:space="preserve"> orientation</w:t>
                              </w:r>
                              <w:r w:rsidR="00C578EB">
                                <w:t xml:space="preserve"> or</w:t>
                              </w:r>
                              <w:r w:rsidR="00047046">
                                <w:t xml:space="preserve"> gender identity</w:t>
                              </w:r>
                              <w:r w:rsidR="00981EE1">
                                <w:t>.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39.9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6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962EFD">
                        <w:pPr>
                          <w:pStyle w:val="CallOutBox"/>
                        </w:pPr>
                        <w:r>
                          <w:t>The new guidance aims to help employers comply with Title VII’s</w:t>
                        </w:r>
                        <w:r w:rsidR="00273D10">
                          <w:t xml:space="preserve"> prohibition against discrimination based on sexual</w:t>
                        </w:r>
                        <w:r w:rsidR="00047046">
                          <w:t xml:space="preserve"> orientation</w:t>
                        </w:r>
                        <w:r w:rsidR="00C578EB">
                          <w:t xml:space="preserve"> or</w:t>
                        </w:r>
                        <w:r w:rsidR="00047046">
                          <w:t xml:space="preserve"> gender identity</w:t>
                        </w:r>
                        <w:r w:rsidR="00981EE1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CB623A">
                              <w:rPr>
                                <w:b/>
                                <w:color w:val="6F61B0"/>
                                <w:sz w:val="20"/>
                                <w:szCs w:val="20"/>
                              </w:rPr>
                              <w:t>George Belcher Evans &amp; Wilmer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CB623A">
                        <w:rPr>
                          <w:b/>
                          <w:color w:val="6F61B0"/>
                          <w:sz w:val="20"/>
                          <w:szCs w:val="20"/>
                        </w:rPr>
                        <w:t>George Belcher Evans &amp; Wilmer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F5139">
        <w:t xml:space="preserve">; or </w:t>
      </w:r>
    </w:p>
    <w:p w:rsidR="008F5139" w:rsidRPr="004967FA" w:rsidP="00ED0F7C">
      <w:pPr>
        <w:pStyle w:val="Bullet"/>
      </w:pPr>
      <w:r>
        <w:t xml:space="preserve">Create or allow a hostile workplace, such as by </w:t>
      </w:r>
      <w:r w:rsidRPr="008F5139">
        <w:t>intentionally and repeatedly using the wrong</w:t>
      </w:r>
      <w:r>
        <w:t xml:space="preserve"> name or pronoun</w:t>
      </w:r>
      <w:r w:rsidRPr="008F5139">
        <w:t xml:space="preserve"> to refer to a transgender employee</w:t>
      </w:r>
      <w:r>
        <w:t xml:space="preserve">.  </w:t>
      </w:r>
    </w:p>
    <w:sectPr w:rsidSect="008A7E71">
      <w:headerReference w:type="default" r:id="rId7"/>
      <w:footerReference w:type="default" r:id="rId8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</w:t>
                          </w:r>
                          <w:r w:rsidR="00701F3B">
                            <w:t xml:space="preserve"> </w:t>
                          </w:r>
                          <w:r w:rsidRPr="00817EEE">
                            <w:t>20</w:t>
                          </w:r>
                          <w:r w:rsidR="008C7983">
                            <w:t>2</w:t>
                          </w:r>
                          <w:r w:rsidR="00701F3B">
                            <w:t>1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</w:t>
                    </w:r>
                    <w:r w:rsidR="00701F3B">
                      <w:t xml:space="preserve"> </w:t>
                    </w:r>
                    <w:r w:rsidRPr="00817EEE">
                      <w:t>20</w:t>
                    </w:r>
                    <w:r w:rsidR="008C7983">
                      <w:t>2</w:t>
                    </w:r>
                    <w:r w:rsidR="00701F3B">
                      <w:t>1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93307499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6f61b0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674658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C8E8288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6F61B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4196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61B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3381B"/>
    <w:multiLevelType w:val="hybridMultilevel"/>
    <w:tmpl w:val="6B3406E4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61B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56"/>
    <w:rsid w:val="00042516"/>
    <w:rsid w:val="00047046"/>
    <w:rsid w:val="000741F1"/>
    <w:rsid w:val="000C2A61"/>
    <w:rsid w:val="000C2A69"/>
    <w:rsid w:val="000E58BA"/>
    <w:rsid w:val="001050A8"/>
    <w:rsid w:val="0012162D"/>
    <w:rsid w:val="00123021"/>
    <w:rsid w:val="00147F78"/>
    <w:rsid w:val="001631A4"/>
    <w:rsid w:val="001725D9"/>
    <w:rsid w:val="00182D24"/>
    <w:rsid w:val="001B1A7E"/>
    <w:rsid w:val="001C125B"/>
    <w:rsid w:val="001D0C56"/>
    <w:rsid w:val="001D6686"/>
    <w:rsid w:val="002317A0"/>
    <w:rsid w:val="00231C34"/>
    <w:rsid w:val="00240001"/>
    <w:rsid w:val="0024208C"/>
    <w:rsid w:val="00246124"/>
    <w:rsid w:val="0026000D"/>
    <w:rsid w:val="00273D10"/>
    <w:rsid w:val="002B61D1"/>
    <w:rsid w:val="002F786C"/>
    <w:rsid w:val="003267EB"/>
    <w:rsid w:val="00331784"/>
    <w:rsid w:val="00345CE3"/>
    <w:rsid w:val="0036117A"/>
    <w:rsid w:val="00363611"/>
    <w:rsid w:val="003674AE"/>
    <w:rsid w:val="003A24F9"/>
    <w:rsid w:val="003A6B72"/>
    <w:rsid w:val="00427A49"/>
    <w:rsid w:val="00432327"/>
    <w:rsid w:val="00442FBC"/>
    <w:rsid w:val="0048508B"/>
    <w:rsid w:val="00485C3A"/>
    <w:rsid w:val="004967FA"/>
    <w:rsid w:val="004972BA"/>
    <w:rsid w:val="004B125C"/>
    <w:rsid w:val="004D34B3"/>
    <w:rsid w:val="004E7A8B"/>
    <w:rsid w:val="00584B55"/>
    <w:rsid w:val="00590600"/>
    <w:rsid w:val="005D05D9"/>
    <w:rsid w:val="005D7BE2"/>
    <w:rsid w:val="00623B8A"/>
    <w:rsid w:val="00627E1B"/>
    <w:rsid w:val="0066265A"/>
    <w:rsid w:val="006654FB"/>
    <w:rsid w:val="0066728D"/>
    <w:rsid w:val="00674394"/>
    <w:rsid w:val="006A2A41"/>
    <w:rsid w:val="006C5127"/>
    <w:rsid w:val="00701F3B"/>
    <w:rsid w:val="00707343"/>
    <w:rsid w:val="00722D3D"/>
    <w:rsid w:val="0074107A"/>
    <w:rsid w:val="00745639"/>
    <w:rsid w:val="00763DF7"/>
    <w:rsid w:val="00770406"/>
    <w:rsid w:val="007809D0"/>
    <w:rsid w:val="00795764"/>
    <w:rsid w:val="00796AD3"/>
    <w:rsid w:val="007D5707"/>
    <w:rsid w:val="00802FF0"/>
    <w:rsid w:val="00817EEE"/>
    <w:rsid w:val="00831DE2"/>
    <w:rsid w:val="008463AF"/>
    <w:rsid w:val="00855DD7"/>
    <w:rsid w:val="00856044"/>
    <w:rsid w:val="00871E9E"/>
    <w:rsid w:val="00873F7A"/>
    <w:rsid w:val="00881C09"/>
    <w:rsid w:val="00882338"/>
    <w:rsid w:val="008864AB"/>
    <w:rsid w:val="008A4169"/>
    <w:rsid w:val="008A7E71"/>
    <w:rsid w:val="008B1A4D"/>
    <w:rsid w:val="008B5C70"/>
    <w:rsid w:val="008C4A09"/>
    <w:rsid w:val="008C7983"/>
    <w:rsid w:val="008F5139"/>
    <w:rsid w:val="008F7B15"/>
    <w:rsid w:val="009043B7"/>
    <w:rsid w:val="00926535"/>
    <w:rsid w:val="009343D8"/>
    <w:rsid w:val="009440BA"/>
    <w:rsid w:val="00947E11"/>
    <w:rsid w:val="00962EFD"/>
    <w:rsid w:val="009764F5"/>
    <w:rsid w:val="00976AB1"/>
    <w:rsid w:val="00981EE1"/>
    <w:rsid w:val="00985900"/>
    <w:rsid w:val="0098636D"/>
    <w:rsid w:val="00993033"/>
    <w:rsid w:val="009A1F7A"/>
    <w:rsid w:val="009D4BB6"/>
    <w:rsid w:val="009D4CF7"/>
    <w:rsid w:val="009E2B6A"/>
    <w:rsid w:val="009E4DC9"/>
    <w:rsid w:val="009E63FB"/>
    <w:rsid w:val="00A21B20"/>
    <w:rsid w:val="00A337BD"/>
    <w:rsid w:val="00A47C53"/>
    <w:rsid w:val="00A61534"/>
    <w:rsid w:val="00A65FD8"/>
    <w:rsid w:val="00A85321"/>
    <w:rsid w:val="00AC69AC"/>
    <w:rsid w:val="00AD0649"/>
    <w:rsid w:val="00B23F43"/>
    <w:rsid w:val="00B6260B"/>
    <w:rsid w:val="00BA7D47"/>
    <w:rsid w:val="00BE45C1"/>
    <w:rsid w:val="00BF4A0E"/>
    <w:rsid w:val="00C14414"/>
    <w:rsid w:val="00C578EB"/>
    <w:rsid w:val="00C741AE"/>
    <w:rsid w:val="00C7499B"/>
    <w:rsid w:val="00C75F3C"/>
    <w:rsid w:val="00CB623A"/>
    <w:rsid w:val="00CC199E"/>
    <w:rsid w:val="00CD1762"/>
    <w:rsid w:val="00CE31FB"/>
    <w:rsid w:val="00CF4144"/>
    <w:rsid w:val="00CF5E21"/>
    <w:rsid w:val="00D013A2"/>
    <w:rsid w:val="00D1471D"/>
    <w:rsid w:val="00D2780D"/>
    <w:rsid w:val="00D35AF9"/>
    <w:rsid w:val="00D379D5"/>
    <w:rsid w:val="00D76FCB"/>
    <w:rsid w:val="00D96BA1"/>
    <w:rsid w:val="00DC3880"/>
    <w:rsid w:val="00DF1ECB"/>
    <w:rsid w:val="00DF7941"/>
    <w:rsid w:val="00E16E6C"/>
    <w:rsid w:val="00E22262"/>
    <w:rsid w:val="00E378E3"/>
    <w:rsid w:val="00E443C6"/>
    <w:rsid w:val="00E73236"/>
    <w:rsid w:val="00EC2053"/>
    <w:rsid w:val="00ED0A80"/>
    <w:rsid w:val="00ED0F7C"/>
    <w:rsid w:val="00F25248"/>
    <w:rsid w:val="00F27D12"/>
    <w:rsid w:val="00F32D2D"/>
    <w:rsid w:val="00F32F5A"/>
    <w:rsid w:val="00F6607B"/>
    <w:rsid w:val="00F834FD"/>
    <w:rsid w:val="00FA4CBD"/>
    <w:rsid w:val="00FA4D15"/>
    <w:rsid w:val="00FB2D06"/>
    <w:rsid w:val="00FD21BC"/>
    <w:rsid w:val="00FD3ACD"/>
    <w:rsid w:val="00FF5B56"/>
  </w:rsids>
  <w:docVars>
    <w:docVar w:name="__Grammarly_42___1" w:val="H4sIAAAAAAAEAKtWcslP9kxRslIyNDYyszAxsjQ3NTIyt7C0sDBT0lEKTi0uzszPAykwqgUADDNIt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732C9D-ACE5-40E4-B4D5-21F8BD0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722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CB623A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CB623A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66265A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9D4CF7"/>
    <w:pPr>
      <w:numPr>
        <w:numId w:val="3"/>
      </w:numPr>
      <w:tabs>
        <w:tab w:val="left" w:pos="540"/>
      </w:tabs>
      <w:spacing w:after="160"/>
      <w:ind w:left="532" w:hanging="446"/>
      <w:contextualSpacing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9D4CF7"/>
    <w:pPr>
      <w:numPr>
        <w:numId w:val="4"/>
      </w:numPr>
      <w:ind w:left="532" w:hanging="446"/>
    </w:pPr>
  </w:style>
  <w:style w:type="character" w:customStyle="1" w:styleId="CheckboxChar">
    <w:name w:val="Checkbox Char"/>
    <w:basedOn w:val="BulletListChar"/>
    <w:link w:val="Checkbox"/>
    <w:rsid w:val="009D4CF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B623A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9D4CF7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B623A"/>
    <w:rPr>
      <w:b/>
      <w:i/>
      <w:color w:val="6F61B0"/>
      <w:sz w:val="36"/>
      <w:szCs w:val="36"/>
    </w:rPr>
  </w:style>
  <w:style w:type="numbering" w:customStyle="1" w:styleId="BulletedList">
    <w:name w:val="Bulleted List"/>
    <w:uiPriority w:val="99"/>
    <w:rsid w:val="00182D24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9D4CF7"/>
    <w:pPr>
      <w:numPr>
        <w:numId w:val="7"/>
      </w:numPr>
      <w:contextualSpacing/>
    </w:pPr>
  </w:style>
  <w:style w:type="character" w:customStyle="1" w:styleId="BulletChar">
    <w:name w:val="Bullet Char"/>
    <w:basedOn w:val="BodyTextChar"/>
    <w:link w:val="Bullet"/>
    <w:rsid w:val="009D4CF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8B5C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2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HR_Legal%20Upd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HR_Legal Update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Poniewaz, Carrie May</dc:creator>
  <cp:lastModifiedBy>Poniewaz, Carrie May</cp:lastModifiedBy>
  <cp:revision>2</cp:revision>
  <dcterms:created xsi:type="dcterms:W3CDTF">2021-06-18T22:13:00Z</dcterms:created>
  <dcterms:modified xsi:type="dcterms:W3CDTF">2021-06-18T22:13:00Z</dcterms:modified>
</cp:coreProperties>
</file>